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A5A4" w14:textId="1C9C8E64"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b/>
          <w:bCs/>
          <w:color w:val="212529"/>
        </w:rPr>
        <w:t>2.</w:t>
      </w:r>
      <w:r w:rsidRPr="00AC3D04">
        <w:rPr>
          <w:rFonts w:eastAsia="Times New Roman" w:cstheme="minorHAnsi"/>
          <w:color w:val="212529"/>
        </w:rPr>
        <w:t xml:space="preserve"> Each of the three spheres of science, technology, and innovation represents a broader category of spheres that are strongly interdependent but distinct. Science contributes to technology by providing new information that acts as a direct source of new technical possibilities (Mulamula &amp; Amadi-Echendu, 2017). Design and a knowledge base for evaluating design viability are carried out by serving as a source of tools and techniques for more effective engineering. Instrumentation, laboratory procedures, and analytical methods used in data collection eventually find their way into design or manufacturing practices; mostly by intermediate disciplines and study as a source for the growth and assimilation of new human skills and capabilities that are eventually useful for technology.</w:t>
      </w:r>
    </w:p>
    <w:p w14:paraId="483C60F7"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The development of a knowledge base, which is becoming increasingly important in the evaluation of technology, has a broader social and environmental impact, as well as a knowledge base that allows for more effective applied research, development, and refinement strategies for new technologies. Technological advances are informed by science (Wu et al., 2019). To develop new technologies, we depend on theories in physics, material science, electricity, and chemistry. Indeed, we're still working on developing several potentially useful materials that are expected to exist based on existing scientific hypotheses, and the more scientific theory progresses, the more it will guide our technological advances. Our science informs our ability to build such strong computers (Masalimova et al., 2017). Our computing power will increase by orders of magnitude as more computer systems are built based on our science on the subject. Science is also changing as a result of technological advancements.</w:t>
      </w:r>
    </w:p>
    <w:p w14:paraId="2F725296" w14:textId="6839E2D7" w:rsidR="00532E53" w:rsidRPr="00AC3D04" w:rsidRDefault="00532E53" w:rsidP="00EB28A2">
      <w:pPr>
        <w:spacing w:after="0" w:line="240" w:lineRule="auto"/>
        <w:jc w:val="center"/>
        <w:rPr>
          <w:rFonts w:eastAsia="Times New Roman" w:cstheme="minorHAnsi"/>
        </w:rPr>
      </w:pPr>
      <w:r w:rsidRPr="00AC3D04">
        <w:rPr>
          <w:rFonts w:eastAsia="Times New Roman" w:cstheme="minorHAnsi"/>
          <w:b/>
          <w:bCs/>
          <w:color w:val="212529"/>
          <w:shd w:val="clear" w:color="auto" w:fill="FFFFFF"/>
        </w:rPr>
        <w:br w:type="textWrapping" w:clear="all"/>
      </w:r>
      <w:r w:rsidRPr="00AC3D04">
        <w:rPr>
          <w:rFonts w:eastAsia="Times New Roman" w:cstheme="minorHAnsi"/>
          <w:color w:val="212529"/>
        </w:rPr>
        <w:t>References</w:t>
      </w:r>
    </w:p>
    <w:p w14:paraId="4FD70B99"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Masalimova, A. R., Levina, E. Y., Platonova, R. I., Yakubenko, K. Y., Mamitova, N. V., Arzumanova, L. L., ... &amp; Marchuk, N. N. (2017). Cognitive simulation is an integrated innovative technology in teaching social and humanitarian disciplines. </w:t>
      </w:r>
      <w:r w:rsidRPr="00AC3D04">
        <w:rPr>
          <w:rFonts w:eastAsia="Times New Roman" w:cstheme="minorHAnsi"/>
          <w:i/>
          <w:iCs/>
          <w:color w:val="212529"/>
        </w:rPr>
        <w:t>EURASIA Journal of Mathematics, Science and Technology Education</w:t>
      </w:r>
      <w:r w:rsidRPr="00AC3D04">
        <w:rPr>
          <w:rFonts w:eastAsia="Times New Roman" w:cstheme="minorHAnsi"/>
          <w:color w:val="212529"/>
        </w:rPr>
        <w:t>, </w:t>
      </w:r>
      <w:r w:rsidRPr="00AC3D04">
        <w:rPr>
          <w:rFonts w:eastAsia="Times New Roman" w:cstheme="minorHAnsi"/>
          <w:i/>
          <w:iCs/>
          <w:color w:val="212529"/>
        </w:rPr>
        <w:t>13</w:t>
      </w:r>
      <w:r w:rsidRPr="00AC3D04">
        <w:rPr>
          <w:rFonts w:eastAsia="Times New Roman" w:cstheme="minorHAnsi"/>
          <w:color w:val="212529"/>
        </w:rPr>
        <w:t>(8), 4915-4928.</w:t>
      </w:r>
    </w:p>
    <w:p w14:paraId="07E4D4E3"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Mulamula, G., &amp; Amadi-Echendu, J. (2017). An examination of the potential links between ICT technology transfer and sustainable development. </w:t>
      </w:r>
      <w:r w:rsidRPr="00AC3D04">
        <w:rPr>
          <w:rFonts w:eastAsia="Times New Roman" w:cstheme="minorHAnsi"/>
          <w:i/>
          <w:iCs/>
          <w:color w:val="212529"/>
        </w:rPr>
        <w:t>International Journal of Technology Management &amp; Sustainable Development</w:t>
      </w:r>
      <w:r w:rsidRPr="00AC3D04">
        <w:rPr>
          <w:rFonts w:eastAsia="Times New Roman" w:cstheme="minorHAnsi"/>
          <w:color w:val="212529"/>
        </w:rPr>
        <w:t>, </w:t>
      </w:r>
      <w:r w:rsidRPr="00AC3D04">
        <w:rPr>
          <w:rFonts w:eastAsia="Times New Roman" w:cstheme="minorHAnsi"/>
          <w:i/>
          <w:iCs/>
          <w:color w:val="212529"/>
        </w:rPr>
        <w:t>16</w:t>
      </w:r>
      <w:r w:rsidRPr="00AC3D04">
        <w:rPr>
          <w:rFonts w:eastAsia="Times New Roman" w:cstheme="minorHAnsi"/>
          <w:color w:val="212529"/>
        </w:rPr>
        <w:t>(2), 119-139.</w:t>
      </w:r>
    </w:p>
    <w:p w14:paraId="70C7B5F2"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Wu, L., Wang, D., &amp; Evans, J. A. (2019). Large teams develop and small teams disrupt science and technology. Nature, 566(7744), 378-382.</w:t>
      </w:r>
    </w:p>
    <w:p w14:paraId="0DD7C820" w14:textId="2FA6EBE6" w:rsidR="00511B33" w:rsidRPr="00AC3D04" w:rsidRDefault="001E798C" w:rsidP="00532E53">
      <w:pPr>
        <w:pStyle w:val="ListParagraph"/>
        <w:rPr>
          <w:rFonts w:cstheme="minorHAnsi"/>
        </w:rPr>
      </w:pPr>
    </w:p>
    <w:p w14:paraId="62DE563F" w14:textId="069F9F6F" w:rsidR="00532E53" w:rsidRPr="00AC3D04" w:rsidRDefault="00532E53" w:rsidP="00532E53">
      <w:pPr>
        <w:pStyle w:val="ListParagraph"/>
        <w:rPr>
          <w:rFonts w:cstheme="minorHAnsi"/>
        </w:rPr>
      </w:pPr>
    </w:p>
    <w:p w14:paraId="5ACA1E31" w14:textId="7AA81CD7" w:rsidR="00EB28A2" w:rsidRPr="00AC3D04" w:rsidRDefault="00532E53" w:rsidP="00EB28A2">
      <w:pPr>
        <w:pStyle w:val="NormalWeb"/>
        <w:shd w:val="clear" w:color="auto" w:fill="FFFFFF"/>
        <w:spacing w:before="0" w:beforeAutospacing="0"/>
        <w:rPr>
          <w:rFonts w:asciiTheme="minorHAnsi" w:hAnsiTheme="minorHAnsi" w:cstheme="minorHAnsi"/>
          <w:b/>
          <w:bCs/>
          <w:color w:val="212529"/>
          <w:sz w:val="22"/>
          <w:szCs w:val="22"/>
        </w:rPr>
      </w:pPr>
      <w:r w:rsidRPr="00AC3D04">
        <w:rPr>
          <w:rFonts w:asciiTheme="minorHAnsi" w:hAnsiTheme="minorHAnsi" w:cstheme="minorHAnsi"/>
          <w:b/>
          <w:bCs/>
          <w:sz w:val="22"/>
          <w:szCs w:val="22"/>
        </w:rPr>
        <w:t>3.</w:t>
      </w:r>
      <w:r w:rsidRPr="00AC3D04">
        <w:rPr>
          <w:rFonts w:asciiTheme="minorHAnsi" w:hAnsiTheme="minorHAnsi" w:cstheme="minorHAnsi"/>
          <w:sz w:val="22"/>
          <w:szCs w:val="22"/>
        </w:rPr>
        <w:t xml:space="preserve"> </w:t>
      </w:r>
      <w:r w:rsidRPr="00AC3D04">
        <w:rPr>
          <w:rFonts w:asciiTheme="minorHAnsi" w:hAnsiTheme="minorHAnsi" w:cstheme="minorHAnsi"/>
          <w:b/>
          <w:bCs/>
          <w:color w:val="212529"/>
          <w:sz w:val="22"/>
          <w:szCs w:val="22"/>
        </w:rPr>
        <w:t>Ethical Challenges, Issues, and Dilemmas in New Technology</w:t>
      </w:r>
    </w:p>
    <w:p w14:paraId="37306D34" w14:textId="65C8935C" w:rsidR="00532E53" w:rsidRPr="00AC3D04" w:rsidRDefault="00532E53" w:rsidP="00EB28A2">
      <w:pPr>
        <w:pStyle w:val="NormalWeb"/>
        <w:shd w:val="clear" w:color="auto" w:fill="FFFFFF"/>
        <w:spacing w:before="0" w:beforeAutospacing="0"/>
        <w:rPr>
          <w:rFonts w:asciiTheme="minorHAnsi" w:hAnsiTheme="minorHAnsi" w:cstheme="minorHAnsi"/>
          <w:color w:val="212529"/>
          <w:sz w:val="22"/>
          <w:szCs w:val="22"/>
        </w:rPr>
      </w:pPr>
      <w:r w:rsidRPr="00AC3D04">
        <w:rPr>
          <w:rFonts w:asciiTheme="minorHAnsi" w:hAnsiTheme="minorHAnsi" w:cstheme="minorHAnsi"/>
          <w:color w:val="212529"/>
          <w:sz w:val="22"/>
          <w:szCs w:val="22"/>
        </w:rPr>
        <w:t>New technology is meant to accelerate science and technology for the benefit of the general public. Being open in the product that has been brought to the market, as well as the implications of using the product, creates ethical dilemmas and policy problems (Eastwood et al., 2019). Customer data collection policies, for example, address how much knowledge about customers you need. If any of the information isn't necessary, delete it or don't ask for it, and make your data usefully clear.</w:t>
      </w:r>
    </w:p>
    <w:p w14:paraId="57DA2F91"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 xml:space="preserve">Transparency of workers is also a challenge according to Van Minh et al. (2017). Many workers are concerned that technology will eliminate their jobs; if you're implementing new technology, make sure your employees understand how it will affect them. It is important to be conscious of various cultural </w:t>
      </w:r>
      <w:r w:rsidRPr="00AC3D04">
        <w:rPr>
          <w:rFonts w:eastAsia="Times New Roman" w:cstheme="minorHAnsi"/>
          <w:color w:val="212529"/>
        </w:rPr>
        <w:lastRenderedPageBreak/>
        <w:t>norms. In certain parts of the world, information that should be safely shared with government officials could be used to crack down on protesters or activists. It's important to safeguard customer and employee information, (Sulaiman et al., 2019). Hackers come up with new and more nefarious ways to steal data. It should be a top priority to keep the details in your files secure.</w:t>
      </w:r>
    </w:p>
    <w:p w14:paraId="685FB90C" w14:textId="77777777" w:rsidR="00532E53" w:rsidRPr="00AC3D04" w:rsidRDefault="00532E53" w:rsidP="00532E53">
      <w:pPr>
        <w:shd w:val="clear" w:color="auto" w:fill="FFFFFF"/>
        <w:spacing w:after="100" w:afterAutospacing="1" w:line="240" w:lineRule="auto"/>
        <w:jc w:val="center"/>
        <w:rPr>
          <w:rFonts w:eastAsia="Times New Roman" w:cstheme="minorHAnsi"/>
          <w:color w:val="212529"/>
        </w:rPr>
      </w:pPr>
      <w:r w:rsidRPr="00AC3D04">
        <w:rPr>
          <w:rFonts w:eastAsia="Times New Roman" w:cstheme="minorHAnsi"/>
          <w:b/>
          <w:bCs/>
          <w:color w:val="212529"/>
        </w:rPr>
        <w:t>Challenges in the Development and Introduction Process</w:t>
      </w:r>
    </w:p>
    <w:p w14:paraId="3B4AE65D"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b/>
          <w:bCs/>
          <w:color w:val="212529"/>
        </w:rPr>
        <w:t>                        </w:t>
      </w:r>
      <w:r w:rsidRPr="00AC3D04">
        <w:rPr>
          <w:rFonts w:eastAsia="Times New Roman" w:cstheme="minorHAnsi"/>
          <w:color w:val="212529"/>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 (Van Minh et al., 2017). An increasing number of businesses are developing algorithms that can forecast future crime rates, for example. Even though computers are expected to be impartial about how they use algorithms, racial bias will occur.</w:t>
      </w:r>
    </w:p>
    <w:p w14:paraId="6077F0A0" w14:textId="34171147" w:rsidR="00532E53" w:rsidRPr="00AC3D04" w:rsidRDefault="00532E53" w:rsidP="00EB28A2">
      <w:pPr>
        <w:shd w:val="clear" w:color="auto" w:fill="FFFFFF"/>
        <w:spacing w:after="100" w:afterAutospacing="1" w:line="240" w:lineRule="auto"/>
        <w:jc w:val="center"/>
        <w:rPr>
          <w:rFonts w:eastAsia="Times New Roman" w:cstheme="minorHAnsi"/>
          <w:color w:val="212529"/>
        </w:rPr>
      </w:pPr>
      <w:r w:rsidRPr="00AC3D04">
        <w:rPr>
          <w:rFonts w:eastAsia="Times New Roman" w:cstheme="minorHAnsi"/>
          <w:color w:val="212529"/>
        </w:rPr>
        <w:t>References</w:t>
      </w:r>
    </w:p>
    <w:p w14:paraId="745709CE"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Eastwood, C., Klerkx, L., Ayre, M., &amp; Rue, B. D. (2019). Managing socio-ethical challenges in the development of smart farming: From a fragmented to a comprehensive approach for responsible research and innovation. Journal of Agricultural and Environmental Ethics, 32(5), 741-768.</w:t>
      </w:r>
    </w:p>
    <w:p w14:paraId="4A202251"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Sulaiman, M. A., &amp; Bakar, N. A. A. (2019). Systematic Review on Ethical Issues in Cloud Computing. </w:t>
      </w:r>
      <w:r w:rsidRPr="00AC3D04">
        <w:rPr>
          <w:rFonts w:eastAsia="Times New Roman" w:cstheme="minorHAnsi"/>
          <w:i/>
          <w:iCs/>
          <w:color w:val="212529"/>
        </w:rPr>
        <w:t>Open International Journal of Informatics (OIJI)</w:t>
      </w:r>
      <w:r w:rsidRPr="00AC3D04">
        <w:rPr>
          <w:rFonts w:eastAsia="Times New Roman" w:cstheme="minorHAnsi"/>
          <w:color w:val="212529"/>
        </w:rPr>
        <w:t>, </w:t>
      </w:r>
      <w:r w:rsidRPr="00AC3D04">
        <w:rPr>
          <w:rFonts w:eastAsia="Times New Roman" w:cstheme="minorHAnsi"/>
          <w:i/>
          <w:iCs/>
          <w:color w:val="212529"/>
        </w:rPr>
        <w:t>7</w:t>
      </w:r>
      <w:r w:rsidRPr="00AC3D04">
        <w:rPr>
          <w:rFonts w:eastAsia="Times New Roman" w:cstheme="minorHAnsi"/>
          <w:color w:val="212529"/>
        </w:rPr>
        <w:t>(2), 65-74.</w:t>
      </w:r>
    </w:p>
    <w:p w14:paraId="4DD14847" w14:textId="1C8A80FE"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Van Minh, N., Badir, Y. F., Quang, N. N., &amp; Afsar, B. (2017). The impact of leaders’ technical competence on employees’ innovation and learning. </w:t>
      </w:r>
      <w:r w:rsidRPr="00AC3D04">
        <w:rPr>
          <w:rFonts w:eastAsia="Times New Roman" w:cstheme="minorHAnsi"/>
          <w:i/>
          <w:iCs/>
          <w:color w:val="212529"/>
        </w:rPr>
        <w:t>Journal of Engineering and Technology Management</w:t>
      </w:r>
      <w:r w:rsidRPr="00AC3D04">
        <w:rPr>
          <w:rFonts w:eastAsia="Times New Roman" w:cstheme="minorHAnsi"/>
          <w:color w:val="212529"/>
        </w:rPr>
        <w:t>, </w:t>
      </w:r>
      <w:r w:rsidRPr="00AC3D04">
        <w:rPr>
          <w:rFonts w:eastAsia="Times New Roman" w:cstheme="minorHAnsi"/>
          <w:i/>
          <w:iCs/>
          <w:color w:val="212529"/>
        </w:rPr>
        <w:t>44</w:t>
      </w:r>
      <w:r w:rsidRPr="00AC3D04">
        <w:rPr>
          <w:rFonts w:eastAsia="Times New Roman" w:cstheme="minorHAnsi"/>
          <w:color w:val="212529"/>
        </w:rPr>
        <w:t>, 44-57.</w:t>
      </w:r>
    </w:p>
    <w:p w14:paraId="518D4160" w14:textId="77777777" w:rsidR="00494FFD" w:rsidRPr="00AC3D04" w:rsidRDefault="00532E53" w:rsidP="00EB28A2">
      <w:pPr>
        <w:spacing w:after="0"/>
        <w:rPr>
          <w:rFonts w:cstheme="minorHAnsi"/>
        </w:rPr>
      </w:pPr>
      <w:r w:rsidRPr="00AC3D04">
        <w:rPr>
          <w:rFonts w:cstheme="minorHAnsi"/>
          <w:b/>
          <w:bCs/>
          <w:color w:val="212529"/>
        </w:rPr>
        <w:t>4</w:t>
      </w:r>
      <w:r w:rsidRPr="00AC3D04">
        <w:rPr>
          <w:rFonts w:eastAsia="Times New Roman" w:cstheme="minorHAnsi"/>
          <w:b/>
          <w:bCs/>
          <w:color w:val="212529"/>
        </w:rPr>
        <w:t>.</w:t>
      </w:r>
      <w:r w:rsidRPr="00AC3D04">
        <w:rPr>
          <w:rFonts w:eastAsia="Times New Roman" w:cstheme="minorHAnsi"/>
          <w:color w:val="212529"/>
        </w:rPr>
        <w:t xml:space="preserve"> </w:t>
      </w:r>
      <w:r w:rsidR="00494FFD" w:rsidRPr="00AC3D04">
        <w:rPr>
          <w:rFonts w:cstheme="minorHAnsi"/>
        </w:rPr>
        <w:t xml:space="preserve">I would use customer demographics and past sales data to determine what needs to get done to increase customer loyalty. Customer demographics would enable me to create changes on the products and services that need to get offered (De Caigny, Coussement, &amp; De Bock, 2020). Past sales would influence the creation of a competitive advantage on what would attract most consumers. The response of customers on the products that have got introduced would form the basis of their loyalty. Checking the past sales would assist in the development of new design implementation. I would use these data to gather the required market research benefits. The past sales data would assist gauge what get required to get corrected to improve future sales. Improvement of sales would get done after efficient marketing. </w:t>
      </w:r>
    </w:p>
    <w:p w14:paraId="3311E973" w14:textId="77777777" w:rsidR="00494FFD" w:rsidRPr="00AC3D04" w:rsidRDefault="00494FFD" w:rsidP="00494FFD">
      <w:pPr>
        <w:spacing w:after="0"/>
        <w:ind w:firstLine="284"/>
        <w:rPr>
          <w:rFonts w:cstheme="minorHAnsi"/>
        </w:rPr>
      </w:pPr>
      <w:r w:rsidRPr="00AC3D04">
        <w:rPr>
          <w:rFonts w:cstheme="minorHAnsi"/>
        </w:rPr>
        <w:t>The sources I would use to determine customer demographics are the human resource of an organization (Salleh &amp; Sulaiman, 2017). The department of human resources contains the information of the customer population that has purchased products and services from the company (</w:t>
      </w:r>
      <w:r w:rsidRPr="00AC3D04">
        <w:rPr>
          <w:rFonts w:cstheme="minorHAnsi"/>
          <w:color w:val="222222"/>
          <w:shd w:val="clear" w:color="auto" w:fill="FFFFFF"/>
        </w:rPr>
        <w:t>Jun, 2020)</w:t>
      </w:r>
      <w:r w:rsidRPr="00AC3D04">
        <w:rPr>
          <w:rFonts w:cstheme="minorHAnsi"/>
        </w:rPr>
        <w:t xml:space="preserve">. I would use the information to create changes by making the products have changes in their old look. Also, I would use sales data to analyze the concepts to get used in selling more products. Sales would play a part in ensuring new changes get developed (Johnson, Lewis, &amp; Reiley, 2017). Achievement of sales would require making appropriate changes in the products. I would gather the ways of increasing product purchases through changing it for a better look. The current look for the technologies must get changed to favor future sales. </w:t>
      </w:r>
    </w:p>
    <w:p w14:paraId="5135B7FE" w14:textId="77777777" w:rsidR="00494FFD" w:rsidRPr="00AC3D04" w:rsidRDefault="00494FFD" w:rsidP="00494FFD">
      <w:pPr>
        <w:rPr>
          <w:rFonts w:cstheme="minorHAnsi"/>
        </w:rPr>
      </w:pPr>
    </w:p>
    <w:p w14:paraId="2AD05997" w14:textId="77777777" w:rsidR="00494FFD" w:rsidRPr="00AC3D04" w:rsidRDefault="00494FFD" w:rsidP="00EB28A2">
      <w:pPr>
        <w:jc w:val="center"/>
        <w:rPr>
          <w:rFonts w:cstheme="minorHAnsi"/>
        </w:rPr>
      </w:pPr>
      <w:r w:rsidRPr="00AC3D04">
        <w:rPr>
          <w:rFonts w:cstheme="minorHAnsi"/>
        </w:rPr>
        <w:t>References</w:t>
      </w:r>
    </w:p>
    <w:p w14:paraId="1609C9C8" w14:textId="77777777" w:rsidR="00494FFD" w:rsidRPr="00AC3D04" w:rsidRDefault="00494FFD" w:rsidP="00494FFD">
      <w:pPr>
        <w:spacing w:after="0"/>
        <w:ind w:left="284" w:hanging="284"/>
        <w:rPr>
          <w:rFonts w:cstheme="minorHAnsi"/>
        </w:rPr>
      </w:pPr>
      <w:r w:rsidRPr="00AC3D04">
        <w:rPr>
          <w:rFonts w:cstheme="minorHAnsi"/>
        </w:rPr>
        <w:lastRenderedPageBreak/>
        <w:t xml:space="preserve">De Caigny, A., Coussement, K., &amp; De Bock, K. W. (2020). Leveraging fine-grained transaction data for customer life event predictions. </w:t>
      </w:r>
      <w:r w:rsidRPr="00AC3D04">
        <w:rPr>
          <w:rFonts w:cstheme="minorHAnsi"/>
          <w:i/>
          <w:iCs/>
        </w:rPr>
        <w:t>Decision Support Systems</w:t>
      </w:r>
      <w:r w:rsidRPr="00AC3D04">
        <w:rPr>
          <w:rFonts w:cstheme="minorHAnsi"/>
        </w:rPr>
        <w:t xml:space="preserve">, </w:t>
      </w:r>
      <w:r w:rsidRPr="00AC3D04">
        <w:rPr>
          <w:rFonts w:cstheme="minorHAnsi"/>
          <w:i/>
          <w:iCs/>
        </w:rPr>
        <w:t>130</w:t>
      </w:r>
      <w:r w:rsidRPr="00AC3D04">
        <w:rPr>
          <w:rFonts w:cstheme="minorHAnsi"/>
        </w:rPr>
        <w:t>, 113232.</w:t>
      </w:r>
    </w:p>
    <w:p w14:paraId="108EB28F" w14:textId="77777777" w:rsidR="00494FFD" w:rsidRPr="00AC3D04" w:rsidRDefault="00494FFD" w:rsidP="00494FFD">
      <w:pPr>
        <w:spacing w:after="0"/>
        <w:ind w:left="284" w:hanging="284"/>
        <w:rPr>
          <w:rFonts w:cstheme="minorHAnsi"/>
        </w:rPr>
      </w:pPr>
      <w:r w:rsidRPr="00AC3D04">
        <w:rPr>
          <w:rFonts w:cstheme="minorHAnsi"/>
        </w:rPr>
        <w:t xml:space="preserve">Johnson, G. A., Lewis, R. A., &amp; Reiley, D. H. (2017). When less is more: Data and power in advertising experiments. </w:t>
      </w:r>
      <w:r w:rsidRPr="00AC3D04">
        <w:rPr>
          <w:rFonts w:cstheme="minorHAnsi"/>
          <w:i/>
          <w:iCs/>
        </w:rPr>
        <w:t>Marketing Science</w:t>
      </w:r>
      <w:r w:rsidRPr="00AC3D04">
        <w:rPr>
          <w:rFonts w:cstheme="minorHAnsi"/>
        </w:rPr>
        <w:t xml:space="preserve">, </w:t>
      </w:r>
      <w:r w:rsidRPr="00AC3D04">
        <w:rPr>
          <w:rFonts w:cstheme="minorHAnsi"/>
          <w:i/>
          <w:iCs/>
        </w:rPr>
        <w:t>36</w:t>
      </w:r>
      <w:r w:rsidRPr="00AC3D04">
        <w:rPr>
          <w:rFonts w:cstheme="minorHAnsi"/>
        </w:rPr>
        <w:t>(1), 43-53.</w:t>
      </w:r>
    </w:p>
    <w:p w14:paraId="4D64D491" w14:textId="77777777" w:rsidR="00494FFD" w:rsidRPr="00AC3D04" w:rsidRDefault="00494FFD" w:rsidP="00494FFD">
      <w:pPr>
        <w:spacing w:after="0"/>
        <w:ind w:left="284" w:hanging="284"/>
        <w:contextualSpacing/>
        <w:rPr>
          <w:rFonts w:cstheme="minorHAnsi"/>
        </w:rPr>
      </w:pPr>
      <w:r w:rsidRPr="00AC3D04">
        <w:rPr>
          <w:rFonts w:cstheme="minorHAnsi"/>
        </w:rPr>
        <w:t xml:space="preserve">Salleh, K. M., &amp; Sulaiman, N. L. (2017). Human resource competencies and human resource roles in organization practice. </w:t>
      </w:r>
      <w:r w:rsidRPr="00AC3D04">
        <w:rPr>
          <w:rFonts w:cstheme="minorHAnsi"/>
          <w:i/>
          <w:iCs/>
        </w:rPr>
        <w:t>International Journal of Applied Business and Economic Research</w:t>
      </w:r>
      <w:r w:rsidRPr="00AC3D04">
        <w:rPr>
          <w:rFonts w:cstheme="minorHAnsi"/>
        </w:rPr>
        <w:t xml:space="preserve">, </w:t>
      </w:r>
      <w:r w:rsidRPr="00AC3D04">
        <w:rPr>
          <w:rFonts w:cstheme="minorHAnsi"/>
          <w:i/>
          <w:iCs/>
        </w:rPr>
        <w:t>15</w:t>
      </w:r>
      <w:r w:rsidRPr="00AC3D04">
        <w:rPr>
          <w:rFonts w:cstheme="minorHAnsi"/>
        </w:rPr>
        <w:t>(4), 377-386.</w:t>
      </w:r>
    </w:p>
    <w:p w14:paraId="303B967E" w14:textId="77777777" w:rsidR="00494FFD" w:rsidRPr="00AC3D04" w:rsidRDefault="00494FFD" w:rsidP="00494FFD">
      <w:pPr>
        <w:spacing w:after="0"/>
        <w:ind w:left="284" w:hanging="284"/>
        <w:contextualSpacing/>
        <w:rPr>
          <w:rFonts w:cstheme="minorHAnsi"/>
        </w:rPr>
      </w:pPr>
      <w:r w:rsidRPr="00AC3D04">
        <w:rPr>
          <w:rFonts w:cstheme="minorHAnsi"/>
          <w:color w:val="222222"/>
          <w:shd w:val="clear" w:color="auto" w:fill="FFFFFF"/>
        </w:rPr>
        <w:t>Jun, J. (2020). </w:t>
      </w:r>
      <w:r w:rsidRPr="00AC3D04">
        <w:rPr>
          <w:rFonts w:cstheme="minorHAnsi"/>
          <w:i/>
          <w:iCs/>
          <w:color w:val="222222"/>
          <w:shd w:val="clear" w:color="auto" w:fill="FFFFFF"/>
        </w:rPr>
        <w:t>Competitive analysis of digital content and knowledge sharing market for continuing education in China</w:t>
      </w:r>
      <w:r w:rsidRPr="00AC3D04">
        <w:rPr>
          <w:rFonts w:cstheme="minorHAnsi"/>
          <w:color w:val="222222"/>
          <w:shd w:val="clear" w:color="auto" w:fill="FFFFFF"/>
        </w:rPr>
        <w:t> (Doctoral dissertation, Massachusetts Institute of Technology).</w:t>
      </w:r>
    </w:p>
    <w:p w14:paraId="7909351D" w14:textId="77777777" w:rsidR="00494FFD" w:rsidRPr="00AC3D04" w:rsidRDefault="00494FFD" w:rsidP="00494FFD">
      <w:pPr>
        <w:rPr>
          <w:rFonts w:cstheme="minorHAnsi"/>
        </w:rPr>
      </w:pPr>
    </w:p>
    <w:p w14:paraId="3309EE44" w14:textId="71479577"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1DF19963" w14:textId="77777777" w:rsidR="00494FFD" w:rsidRPr="00AC3D04" w:rsidRDefault="00532E53" w:rsidP="00494FFD">
      <w:pPr>
        <w:spacing w:after="0"/>
        <w:rPr>
          <w:rFonts w:cstheme="minorHAnsi"/>
        </w:rPr>
      </w:pPr>
      <w:r w:rsidRPr="00AC3D04">
        <w:rPr>
          <w:rFonts w:cstheme="minorHAnsi"/>
          <w:b/>
          <w:bCs/>
          <w:color w:val="212529"/>
        </w:rPr>
        <w:t>5</w:t>
      </w:r>
      <w:r w:rsidRPr="00AC3D04">
        <w:rPr>
          <w:rFonts w:eastAsia="Times New Roman" w:cstheme="minorHAnsi"/>
          <w:b/>
          <w:bCs/>
          <w:color w:val="212529"/>
        </w:rPr>
        <w:t>.</w:t>
      </w:r>
      <w:r w:rsidRPr="00AC3D04">
        <w:rPr>
          <w:rFonts w:eastAsia="Times New Roman" w:cstheme="minorHAnsi"/>
          <w:color w:val="212529"/>
        </w:rPr>
        <w:t xml:space="preserve"> </w:t>
      </w:r>
      <w:r w:rsidR="00494FFD" w:rsidRPr="00AC3D04">
        <w:rPr>
          <w:rFonts w:cstheme="minorHAnsi"/>
        </w:rPr>
        <w:t xml:space="preserve">Politics and regulations affect technologies that get used in the community. Organizations working under technological development face regulatory hurdles. Google, Amazon, and Facebook have got affected by regulatory hurdles. The government has devised ways to ensure these organizations work while getting monitored (Blank, 2019). The government has created laws that allow organizations to work without taking advantage of its consumers. Also, the political risk ensures has affected the technology through amendments of laws. Lobby rules pressurize politicians to enact laws that influence the use of technology (Salleh et al., 2017). The companies of technologies perform tasks as per the laws passed by the political groups. The laws that have got passed by the politicians have effect on technologies used in a country. Guidelines and rules ensure technologies to get controlled in firms. </w:t>
      </w:r>
    </w:p>
    <w:p w14:paraId="5896378A" w14:textId="77777777" w:rsidR="00494FFD" w:rsidRPr="00AC3D04" w:rsidRDefault="00494FFD" w:rsidP="00494FFD">
      <w:pPr>
        <w:spacing w:after="0"/>
        <w:ind w:firstLine="284"/>
        <w:rPr>
          <w:rFonts w:cstheme="minorHAnsi"/>
        </w:rPr>
      </w:pPr>
      <w:r w:rsidRPr="00AC3D04">
        <w:rPr>
          <w:rFonts w:cstheme="minorHAnsi"/>
        </w:rPr>
        <w:t xml:space="preserve">Deploying new applications can get managed through the use of appropriate politics and regulations. Politics can get used to creating laws that allow new technologies to get developed by firms in various areas (Young &amp; Pagliari, 2017). The management of new technologies would allow the creation of friendly laws that provide organizations to set new technologies in the surrounding. Besides, the regulation of data that gets used needs to get agreed upon by the company and government. It would allow the data rates to get set at an affordable rate that allows tech firms to operate (Grön &amp; Nelimarkka, 2020). Regulations of using technologies such as drones get restricted for security concerns. Challenges of setting businesses would get eliminated on tech firms. </w:t>
      </w:r>
    </w:p>
    <w:p w14:paraId="15DD9B67" w14:textId="77777777" w:rsidR="00494FFD" w:rsidRPr="00AC3D04" w:rsidRDefault="00494FFD" w:rsidP="00494FFD">
      <w:pPr>
        <w:rPr>
          <w:rFonts w:cstheme="minorHAnsi"/>
        </w:rPr>
      </w:pPr>
    </w:p>
    <w:p w14:paraId="719F71F7" w14:textId="77777777" w:rsidR="00494FFD" w:rsidRPr="00AC3D04" w:rsidRDefault="00494FFD" w:rsidP="00494FFD">
      <w:pPr>
        <w:rPr>
          <w:rFonts w:cstheme="minorHAnsi"/>
        </w:rPr>
      </w:pPr>
    </w:p>
    <w:p w14:paraId="0CE40FBD" w14:textId="77777777" w:rsidR="00494FFD" w:rsidRPr="00AC3D04" w:rsidRDefault="00494FFD" w:rsidP="00494FFD">
      <w:pPr>
        <w:jc w:val="center"/>
        <w:rPr>
          <w:rFonts w:cstheme="minorHAnsi"/>
        </w:rPr>
      </w:pPr>
      <w:r w:rsidRPr="00AC3D04">
        <w:rPr>
          <w:rFonts w:cstheme="minorHAnsi"/>
        </w:rPr>
        <w:t>References</w:t>
      </w:r>
    </w:p>
    <w:p w14:paraId="243C74A4" w14:textId="77777777" w:rsidR="00494FFD" w:rsidRPr="00AC3D04" w:rsidRDefault="00494FFD" w:rsidP="00494FFD">
      <w:pPr>
        <w:spacing w:after="0"/>
        <w:ind w:left="284" w:hanging="284"/>
        <w:contextualSpacing/>
        <w:rPr>
          <w:rFonts w:cstheme="minorHAnsi"/>
        </w:rPr>
      </w:pPr>
      <w:r w:rsidRPr="00AC3D04">
        <w:rPr>
          <w:rFonts w:cstheme="minorHAnsi"/>
        </w:rPr>
        <w:t xml:space="preserve">Blank, R. H. (2019). </w:t>
      </w:r>
      <w:r w:rsidRPr="00AC3D04">
        <w:rPr>
          <w:rFonts w:cstheme="minorHAnsi"/>
          <w:i/>
          <w:iCs/>
        </w:rPr>
        <w:t>The political implications of human genetic technology</w:t>
      </w:r>
      <w:r w:rsidRPr="00AC3D04">
        <w:rPr>
          <w:rFonts w:cstheme="minorHAnsi"/>
        </w:rPr>
        <w:t>. Routledge.</w:t>
      </w:r>
    </w:p>
    <w:p w14:paraId="3E538D26" w14:textId="77777777" w:rsidR="00494FFD" w:rsidRPr="00AC3D04" w:rsidRDefault="00494FFD" w:rsidP="00494FFD">
      <w:pPr>
        <w:spacing w:after="0"/>
        <w:ind w:left="284" w:hanging="284"/>
        <w:contextualSpacing/>
        <w:rPr>
          <w:rFonts w:cstheme="minorHAnsi"/>
        </w:rPr>
      </w:pPr>
      <w:r w:rsidRPr="00AC3D04">
        <w:rPr>
          <w:rFonts w:cstheme="minorHAnsi"/>
        </w:rPr>
        <w:t xml:space="preserve">Grön, K., &amp; Nelimarkka, M. (2020). Party Politics, Values and the Design of Social Media Services: Implications of political elites' values and ideologies to mitigating of political polarisation through design. </w:t>
      </w:r>
      <w:r w:rsidRPr="00AC3D04">
        <w:rPr>
          <w:rFonts w:cstheme="minorHAnsi"/>
          <w:i/>
          <w:iCs/>
        </w:rPr>
        <w:t>Proceedings of the ACM on Human-Computer Interaction</w:t>
      </w:r>
      <w:r w:rsidRPr="00AC3D04">
        <w:rPr>
          <w:rFonts w:cstheme="minorHAnsi"/>
        </w:rPr>
        <w:t xml:space="preserve">, </w:t>
      </w:r>
      <w:r w:rsidRPr="00AC3D04">
        <w:rPr>
          <w:rFonts w:cstheme="minorHAnsi"/>
          <w:i/>
          <w:iCs/>
        </w:rPr>
        <w:t>4</w:t>
      </w:r>
      <w:r w:rsidRPr="00AC3D04">
        <w:rPr>
          <w:rFonts w:cstheme="minorHAnsi"/>
        </w:rPr>
        <w:t>(CSCW2), 1-29.</w:t>
      </w:r>
    </w:p>
    <w:p w14:paraId="265AAEEB" w14:textId="77777777" w:rsidR="00494FFD" w:rsidRPr="00AC3D04" w:rsidRDefault="00494FFD" w:rsidP="00494FFD">
      <w:pPr>
        <w:spacing w:after="0"/>
        <w:ind w:left="284" w:hanging="284"/>
        <w:contextualSpacing/>
        <w:rPr>
          <w:rFonts w:cstheme="minorHAnsi"/>
        </w:rPr>
      </w:pPr>
      <w:r w:rsidRPr="00AC3D04">
        <w:rPr>
          <w:rFonts w:cstheme="minorHAnsi"/>
        </w:rPr>
        <w:t xml:space="preserve">Young, K., &amp; Pagliari, S. (2017). Capital united? Business unity in regulatory politics and the special place of finance. </w:t>
      </w:r>
      <w:r w:rsidRPr="00AC3D04">
        <w:rPr>
          <w:rFonts w:cstheme="minorHAnsi"/>
          <w:i/>
          <w:iCs/>
        </w:rPr>
        <w:t>Regulation &amp; Governance</w:t>
      </w:r>
      <w:r w:rsidRPr="00AC3D04">
        <w:rPr>
          <w:rFonts w:cstheme="minorHAnsi"/>
        </w:rPr>
        <w:t xml:space="preserve">, </w:t>
      </w:r>
      <w:r w:rsidRPr="00AC3D04">
        <w:rPr>
          <w:rFonts w:cstheme="minorHAnsi"/>
          <w:i/>
          <w:iCs/>
        </w:rPr>
        <w:t>11</w:t>
      </w:r>
      <w:r w:rsidRPr="00AC3D04">
        <w:rPr>
          <w:rFonts w:cstheme="minorHAnsi"/>
        </w:rPr>
        <w:t xml:space="preserve">(1), 3-23. </w:t>
      </w:r>
    </w:p>
    <w:p w14:paraId="7FF5251D" w14:textId="77777777" w:rsidR="00494FFD" w:rsidRPr="00AC3D04" w:rsidRDefault="00494FFD" w:rsidP="00494FFD">
      <w:pPr>
        <w:spacing w:after="0"/>
        <w:ind w:left="284" w:hanging="284"/>
        <w:contextualSpacing/>
        <w:rPr>
          <w:rFonts w:cstheme="minorHAnsi"/>
        </w:rPr>
      </w:pPr>
      <w:r w:rsidRPr="00AC3D04">
        <w:rPr>
          <w:rFonts w:cstheme="minorHAnsi"/>
        </w:rPr>
        <w:t xml:space="preserve">Salleh, K. M., &amp; Sulaiman, N. L. (2017). Human resource competencies and human resource roles in organization practice. </w:t>
      </w:r>
      <w:r w:rsidRPr="00AC3D04">
        <w:rPr>
          <w:rFonts w:cstheme="minorHAnsi"/>
          <w:i/>
          <w:iCs/>
        </w:rPr>
        <w:t>International Journal of Applied Business and Economic Research</w:t>
      </w:r>
      <w:r w:rsidRPr="00AC3D04">
        <w:rPr>
          <w:rFonts w:cstheme="minorHAnsi"/>
        </w:rPr>
        <w:t xml:space="preserve">, </w:t>
      </w:r>
      <w:r w:rsidRPr="00AC3D04">
        <w:rPr>
          <w:rFonts w:cstheme="minorHAnsi"/>
          <w:i/>
          <w:iCs/>
        </w:rPr>
        <w:t>15</w:t>
      </w:r>
      <w:r w:rsidRPr="00AC3D04">
        <w:rPr>
          <w:rFonts w:cstheme="minorHAnsi"/>
        </w:rPr>
        <w:t>(4), 377-386.</w:t>
      </w:r>
    </w:p>
    <w:p w14:paraId="08836459" w14:textId="3AC3541C"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3980F8EA" w14:textId="35ED982A" w:rsidR="00494FFD" w:rsidRPr="00AC3D04" w:rsidRDefault="00494FFD" w:rsidP="00494FFD">
      <w:pPr>
        <w:spacing w:after="0"/>
        <w:rPr>
          <w:rFonts w:cstheme="minorHAnsi"/>
        </w:rPr>
      </w:pPr>
      <w:r w:rsidRPr="00AC3D04">
        <w:rPr>
          <w:rFonts w:cstheme="minorHAnsi"/>
          <w:b/>
          <w:bCs/>
          <w:color w:val="212529"/>
        </w:rPr>
        <w:lastRenderedPageBreak/>
        <w:t>6.</w:t>
      </w:r>
      <w:r w:rsidRPr="00AC3D04">
        <w:rPr>
          <w:rFonts w:cstheme="minorHAnsi"/>
        </w:rPr>
        <w:t xml:space="preserve"> The forces that shape consumer demand for the technology include customer acceptance, moral issues, inclusivity, and collaborative delivery. Technologies exist in various forms, and it's up to the company and consumers to determine the sales. Consumer demand for new technologies can get determined through the forces mentioned (Schroeder, 2018). Inclusivity of new technology would determine the number of people who would use the technologies without problems. A technology that includes all people from ages of 18 to 70 would get purchased in large quantities. Customer acceptance of the technology would increase sales made by an organization (Mohammed, 2019). Acceptance from consumers determines the number of technologies that would get purchased. Creation of technologies that uphold morals would get accepted by most consumers which in turn would increase sales. </w:t>
      </w:r>
    </w:p>
    <w:p w14:paraId="23D9EE65" w14:textId="77777777" w:rsidR="00494FFD" w:rsidRPr="00AC3D04" w:rsidRDefault="00494FFD" w:rsidP="00494FFD">
      <w:pPr>
        <w:spacing w:after="0"/>
        <w:ind w:firstLine="284"/>
        <w:rPr>
          <w:rFonts w:cstheme="minorHAnsi"/>
        </w:rPr>
      </w:pPr>
      <w:r w:rsidRPr="00AC3D04">
        <w:rPr>
          <w:rFonts w:cstheme="minorHAnsi"/>
        </w:rPr>
        <w:t>Organizations can use the information about the forces influencing consumer demand for technology to increase their mainstream. Companies need to produce technologies that include all people of different ages (</w:t>
      </w:r>
      <w:r w:rsidRPr="00AC3D04">
        <w:rPr>
          <w:rFonts w:cstheme="minorHAnsi"/>
          <w:color w:val="222222"/>
          <w:shd w:val="clear" w:color="auto" w:fill="FFFFFF"/>
        </w:rPr>
        <w:t>Braje et al., 2021)</w:t>
      </w:r>
      <w:r w:rsidRPr="00AC3D04">
        <w:rPr>
          <w:rFonts w:cstheme="minorHAnsi"/>
        </w:rPr>
        <w:t xml:space="preserve">. Inclusivity allows many people to make purchases of the introduced technologies. The new technologies would get accommodated by people of all ages for their personal and employment uses (Khan, 2020). Consumer acceptance of the products offered needs to get promoted by the company. A company would stand out after ensuring its technologies get accepted by many consumers. Collaborative delivery that fits a company and consumers needs to get developed. It would encourage consumers to make purchases in the organization at all times. A collaborative delivery would shape the need for consumers to get served with the technologies that get offered. </w:t>
      </w:r>
    </w:p>
    <w:p w14:paraId="7A9B53CE" w14:textId="77777777" w:rsidR="00494FFD" w:rsidRPr="00AC3D04" w:rsidRDefault="00494FFD" w:rsidP="00494FFD">
      <w:pPr>
        <w:rPr>
          <w:rFonts w:cstheme="minorHAnsi"/>
        </w:rPr>
      </w:pPr>
    </w:p>
    <w:p w14:paraId="7A046CBF" w14:textId="77777777" w:rsidR="00EB28A2" w:rsidRPr="00AC3D04" w:rsidRDefault="00EB28A2" w:rsidP="00494FFD">
      <w:pPr>
        <w:jc w:val="center"/>
        <w:rPr>
          <w:rFonts w:cstheme="minorHAnsi"/>
        </w:rPr>
      </w:pPr>
    </w:p>
    <w:p w14:paraId="4967C054" w14:textId="77777777" w:rsidR="00EB28A2" w:rsidRPr="00AC3D04" w:rsidRDefault="00EB28A2" w:rsidP="00494FFD">
      <w:pPr>
        <w:jc w:val="center"/>
        <w:rPr>
          <w:rFonts w:cstheme="minorHAnsi"/>
        </w:rPr>
      </w:pPr>
    </w:p>
    <w:p w14:paraId="33EB121A" w14:textId="16CCC9D5" w:rsidR="00494FFD" w:rsidRPr="00AC3D04" w:rsidRDefault="00494FFD" w:rsidP="00494FFD">
      <w:pPr>
        <w:jc w:val="center"/>
        <w:rPr>
          <w:rFonts w:cstheme="minorHAnsi"/>
        </w:rPr>
      </w:pPr>
      <w:r w:rsidRPr="00AC3D04">
        <w:rPr>
          <w:rFonts w:cstheme="minorHAnsi"/>
        </w:rPr>
        <w:t>References</w:t>
      </w:r>
    </w:p>
    <w:p w14:paraId="5C224A7B" w14:textId="77777777" w:rsidR="00494FFD" w:rsidRPr="00AC3D04" w:rsidRDefault="00494FFD" w:rsidP="00494FFD">
      <w:pPr>
        <w:spacing w:after="0"/>
        <w:ind w:left="567" w:hanging="567"/>
        <w:rPr>
          <w:rFonts w:cstheme="minorHAnsi"/>
        </w:rPr>
      </w:pPr>
      <w:r w:rsidRPr="00AC3D04">
        <w:rPr>
          <w:rFonts w:cstheme="minorHAnsi"/>
        </w:rPr>
        <w:t xml:space="preserve">Khan, H. R. (2020). Issues and challenges in financial inclusion: Policies, partnerships, processes and products. </w:t>
      </w:r>
      <w:r w:rsidRPr="00AC3D04">
        <w:rPr>
          <w:rFonts w:cstheme="minorHAnsi"/>
          <w:i/>
          <w:iCs/>
        </w:rPr>
        <w:t>Korea</w:t>
      </w:r>
      <w:r w:rsidRPr="00AC3D04">
        <w:rPr>
          <w:rFonts w:cstheme="minorHAnsi"/>
        </w:rPr>
        <w:t xml:space="preserve">, </w:t>
      </w:r>
      <w:r w:rsidRPr="00AC3D04">
        <w:rPr>
          <w:rFonts w:cstheme="minorHAnsi"/>
          <w:i/>
          <w:iCs/>
        </w:rPr>
        <w:t>18</w:t>
      </w:r>
      <w:r w:rsidRPr="00AC3D04">
        <w:rPr>
          <w:rFonts w:cstheme="minorHAnsi"/>
        </w:rPr>
        <w:t>(250.29), 84-17.</w:t>
      </w:r>
    </w:p>
    <w:p w14:paraId="2A904520" w14:textId="77777777" w:rsidR="00494FFD" w:rsidRPr="00AC3D04" w:rsidRDefault="00494FFD" w:rsidP="00494FFD">
      <w:pPr>
        <w:spacing w:after="0"/>
        <w:ind w:left="567" w:hanging="567"/>
        <w:rPr>
          <w:rFonts w:cstheme="minorHAnsi"/>
        </w:rPr>
      </w:pPr>
      <w:r w:rsidRPr="00AC3D04">
        <w:rPr>
          <w:rFonts w:cstheme="minorHAnsi"/>
        </w:rPr>
        <w:t xml:space="preserve">Mohammed, P. S. (2019). Towards inclusive education in the age of artificial intelligence: Perspectives, challenges, and opportunities. In </w:t>
      </w:r>
      <w:r w:rsidRPr="00AC3D04">
        <w:rPr>
          <w:rFonts w:cstheme="minorHAnsi"/>
          <w:i/>
          <w:iCs/>
        </w:rPr>
        <w:t>Artificial intelligence and inclusive education</w:t>
      </w:r>
      <w:r w:rsidRPr="00AC3D04">
        <w:rPr>
          <w:rFonts w:cstheme="minorHAnsi"/>
        </w:rPr>
        <w:t xml:space="preserve"> (pp. 17-37). Springer, Singapore.</w:t>
      </w:r>
    </w:p>
    <w:p w14:paraId="7BB89A70" w14:textId="77777777" w:rsidR="00494FFD" w:rsidRPr="00AC3D04" w:rsidRDefault="00494FFD" w:rsidP="00494FFD">
      <w:pPr>
        <w:spacing w:after="0"/>
        <w:ind w:left="567" w:hanging="567"/>
        <w:contextualSpacing/>
        <w:rPr>
          <w:rFonts w:cstheme="minorHAnsi"/>
        </w:rPr>
      </w:pPr>
      <w:r w:rsidRPr="00AC3D04">
        <w:rPr>
          <w:rFonts w:cstheme="minorHAnsi"/>
        </w:rPr>
        <w:t xml:space="preserve">Schroeder, R. (2018). </w:t>
      </w:r>
      <w:r w:rsidRPr="00AC3D04">
        <w:rPr>
          <w:rFonts w:cstheme="minorHAnsi"/>
          <w:i/>
          <w:iCs/>
        </w:rPr>
        <w:t>Social theory after the internet: Media, technology and globalization</w:t>
      </w:r>
      <w:r w:rsidRPr="00AC3D04">
        <w:rPr>
          <w:rFonts w:cstheme="minorHAnsi"/>
        </w:rPr>
        <w:t xml:space="preserve"> (p. 210). UCL Press.</w:t>
      </w:r>
    </w:p>
    <w:p w14:paraId="7409B544" w14:textId="77777777" w:rsidR="00494FFD" w:rsidRPr="00AC3D04" w:rsidRDefault="00494FFD" w:rsidP="00494FFD">
      <w:pPr>
        <w:spacing w:after="0"/>
        <w:ind w:left="567" w:hanging="567"/>
        <w:contextualSpacing/>
        <w:rPr>
          <w:rFonts w:cstheme="minorHAnsi"/>
        </w:rPr>
      </w:pPr>
      <w:r w:rsidRPr="00AC3D04">
        <w:rPr>
          <w:rFonts w:cstheme="minorHAnsi"/>
          <w:color w:val="222222"/>
          <w:shd w:val="clear" w:color="auto" w:fill="FFFFFF"/>
        </w:rPr>
        <w:t>Braje, T. J., &amp; Bentz, L. (2021). Bills of Fare, Consumer Demand, Social Status, Ethnicity, and the Collapse of California Abalone. </w:t>
      </w:r>
      <w:r w:rsidRPr="00AC3D04">
        <w:rPr>
          <w:rFonts w:cstheme="minorHAnsi"/>
          <w:i/>
          <w:iCs/>
          <w:color w:val="222222"/>
          <w:shd w:val="clear" w:color="auto" w:fill="FFFFFF"/>
        </w:rPr>
        <w:t>Journal of Ethnobiology</w:t>
      </w:r>
      <w:r w:rsidRPr="00AC3D04">
        <w:rPr>
          <w:rFonts w:cstheme="minorHAnsi"/>
          <w:color w:val="222222"/>
          <w:shd w:val="clear" w:color="auto" w:fill="FFFFFF"/>
        </w:rPr>
        <w:t>, </w:t>
      </w:r>
      <w:r w:rsidRPr="00AC3D04">
        <w:rPr>
          <w:rFonts w:cstheme="minorHAnsi"/>
          <w:i/>
          <w:iCs/>
          <w:color w:val="222222"/>
          <w:shd w:val="clear" w:color="auto" w:fill="FFFFFF"/>
        </w:rPr>
        <w:t>41</w:t>
      </w:r>
      <w:r w:rsidRPr="00AC3D04">
        <w:rPr>
          <w:rFonts w:cstheme="minorHAnsi"/>
          <w:color w:val="222222"/>
          <w:shd w:val="clear" w:color="auto" w:fill="FFFFFF"/>
        </w:rPr>
        <w:t>(2), 277-291.</w:t>
      </w:r>
    </w:p>
    <w:p w14:paraId="727E99AD" w14:textId="337BF83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5C216DFA" w14:textId="0984F726"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68BCDF14" w14:textId="77777777" w:rsidR="00494FFD" w:rsidRPr="00AC3D04" w:rsidRDefault="00494FFD" w:rsidP="00494FFD">
      <w:pPr>
        <w:spacing w:after="0"/>
        <w:rPr>
          <w:rFonts w:cstheme="minorHAnsi"/>
        </w:rPr>
      </w:pPr>
      <w:r w:rsidRPr="00AC3D04">
        <w:rPr>
          <w:rFonts w:cstheme="minorHAnsi"/>
          <w:b/>
          <w:bCs/>
          <w:color w:val="212529"/>
        </w:rPr>
        <w:t>7.</w:t>
      </w:r>
      <w:r w:rsidRPr="00AC3D04">
        <w:rPr>
          <w:rFonts w:cstheme="minorHAnsi"/>
          <w:color w:val="212529"/>
        </w:rPr>
        <w:t xml:space="preserve"> </w:t>
      </w:r>
      <w:r w:rsidRPr="00AC3D04">
        <w:rPr>
          <w:rFonts w:cstheme="minorHAnsi"/>
        </w:rPr>
        <w:t>According to science and technology, I would describe the invention as the creation of a product for the first time in the market (Zhou &amp; Wang, 2020). The production of technologies that have never existed is an invention that has got promoted. For example, the invention of computers got in ancient times to help people advance in their lives. Innovation on the other hand occurs when an existing idea gets improved to produce more services and products (</w:t>
      </w:r>
      <w:r w:rsidRPr="00AC3D04">
        <w:rPr>
          <w:rFonts w:cstheme="minorHAnsi"/>
          <w:color w:val="222222"/>
          <w:shd w:val="clear" w:color="auto" w:fill="FFFFFF"/>
        </w:rPr>
        <w:t>Link, 2020)</w:t>
      </w:r>
      <w:r w:rsidRPr="00AC3D04">
        <w:rPr>
          <w:rFonts w:cstheme="minorHAnsi"/>
        </w:rPr>
        <w:t xml:space="preserve">. For instance, Elon Musk made an innovation by the creation of the tesla car that uses electricity to operate. The innovation he made has led to the creation of most vehicles of such kind that demands a large market in Europe (Joly, 2019). The </w:t>
      </w:r>
      <w:r w:rsidRPr="00AC3D04">
        <w:rPr>
          <w:rFonts w:cstheme="minorHAnsi"/>
        </w:rPr>
        <w:lastRenderedPageBreak/>
        <w:t xml:space="preserve">innovation of electric cars has got improved by Elon Musk to serve people. There is need of protecting the environment from pollution that gets caused by vehicles using fuel. </w:t>
      </w:r>
    </w:p>
    <w:p w14:paraId="30C6FBBA" w14:textId="77777777" w:rsidR="00494FFD" w:rsidRPr="00AC3D04" w:rsidRDefault="00494FFD" w:rsidP="00494FFD">
      <w:pPr>
        <w:spacing w:after="0"/>
        <w:ind w:firstLine="567"/>
        <w:rPr>
          <w:rFonts w:cstheme="minorHAnsi"/>
        </w:rPr>
      </w:pPr>
      <w:r w:rsidRPr="00AC3D04">
        <w:rPr>
          <w:rFonts w:cstheme="minorHAnsi"/>
        </w:rPr>
        <w:t xml:space="preserve">The example of invention regarding computers occurred when there was no technology of such kind. Thus, it was the first time computers got developed to assist in promoting modern civilization (Tenuta &amp; Testa, 2018). The invention of computers has now got modified by different organizations to produce their preferred designs. Invention has led to production of new ideas. The production of electric cars got innovated by Elon Musk to ensure its customers get their preferences. Innovation makes an adjustment on an existing product to ensure its suits consumer preferences and expectations. The performance of technologies gets determined by the adjustments made. </w:t>
      </w:r>
    </w:p>
    <w:p w14:paraId="5CB3D2E7" w14:textId="77777777" w:rsidR="00494FFD" w:rsidRPr="00AC3D04" w:rsidRDefault="00494FFD" w:rsidP="00494FFD">
      <w:pPr>
        <w:rPr>
          <w:rFonts w:cstheme="minorHAnsi"/>
        </w:rPr>
      </w:pPr>
    </w:p>
    <w:p w14:paraId="7B3FE39B" w14:textId="77777777" w:rsidR="00494FFD" w:rsidRPr="00AC3D04" w:rsidRDefault="00494FFD" w:rsidP="00EB28A2">
      <w:pPr>
        <w:jc w:val="center"/>
        <w:rPr>
          <w:rFonts w:cstheme="minorHAnsi"/>
        </w:rPr>
      </w:pPr>
      <w:r w:rsidRPr="00AC3D04">
        <w:rPr>
          <w:rFonts w:cstheme="minorHAnsi"/>
        </w:rPr>
        <w:t>References</w:t>
      </w:r>
    </w:p>
    <w:p w14:paraId="5D0B9842" w14:textId="77777777" w:rsidR="00494FFD" w:rsidRPr="00AC3D04" w:rsidRDefault="00494FFD" w:rsidP="00494FFD">
      <w:pPr>
        <w:spacing w:after="0"/>
        <w:ind w:left="567" w:hanging="567"/>
        <w:rPr>
          <w:rFonts w:cstheme="minorHAnsi"/>
        </w:rPr>
      </w:pPr>
      <w:r w:rsidRPr="00AC3D04">
        <w:rPr>
          <w:rFonts w:cstheme="minorHAnsi"/>
        </w:rPr>
        <w:t xml:space="preserve">Joly, P. B. (2019). Reimagining innovation. In </w:t>
      </w:r>
      <w:r w:rsidRPr="00AC3D04">
        <w:rPr>
          <w:rFonts w:cstheme="minorHAnsi"/>
          <w:i/>
          <w:iCs/>
        </w:rPr>
        <w:t>Innovation beyond technology</w:t>
      </w:r>
      <w:r w:rsidRPr="00AC3D04">
        <w:rPr>
          <w:rFonts w:cstheme="minorHAnsi"/>
        </w:rPr>
        <w:t xml:space="preserve"> (pp. 25-45). Springer, Singapore.</w:t>
      </w:r>
    </w:p>
    <w:p w14:paraId="20DD0BFF" w14:textId="77777777" w:rsidR="00494FFD" w:rsidRPr="00AC3D04" w:rsidRDefault="00494FFD" w:rsidP="00494FFD">
      <w:pPr>
        <w:spacing w:after="0"/>
        <w:ind w:left="567" w:hanging="567"/>
        <w:contextualSpacing/>
        <w:rPr>
          <w:rFonts w:cstheme="minorHAnsi"/>
        </w:rPr>
      </w:pPr>
      <w:r w:rsidRPr="00AC3D04">
        <w:rPr>
          <w:rFonts w:cstheme="minorHAnsi"/>
        </w:rPr>
        <w:t xml:space="preserve">Tenuta, L., &amp; Testa, S. (2018). Scientific method and creative process for wearable technologies from invention to innovation. </w:t>
      </w:r>
      <w:r w:rsidRPr="00AC3D04">
        <w:rPr>
          <w:rFonts w:cstheme="minorHAnsi"/>
          <w:i/>
          <w:iCs/>
        </w:rPr>
        <w:t>Airea: Arts and Interdisciplinary Research</w:t>
      </w:r>
      <w:r w:rsidRPr="00AC3D04">
        <w:rPr>
          <w:rFonts w:cstheme="minorHAnsi"/>
        </w:rPr>
        <w:t>, (1), 35-46.</w:t>
      </w:r>
    </w:p>
    <w:p w14:paraId="5B21FE51" w14:textId="77777777" w:rsidR="00494FFD" w:rsidRPr="00AC3D04" w:rsidRDefault="00494FFD" w:rsidP="00494FFD">
      <w:pPr>
        <w:spacing w:after="0"/>
        <w:ind w:left="567" w:hanging="567"/>
        <w:rPr>
          <w:rFonts w:cstheme="minorHAnsi"/>
        </w:rPr>
      </w:pPr>
      <w:r w:rsidRPr="00AC3D04">
        <w:rPr>
          <w:rFonts w:cstheme="minorHAnsi"/>
        </w:rPr>
        <w:t xml:space="preserve">Zhou, C., &amp; Wang, R. (2020). From invention to innovation: the role of knowledge-intensive business services in technology commercialisation. </w:t>
      </w:r>
      <w:r w:rsidRPr="00AC3D04">
        <w:rPr>
          <w:rFonts w:cstheme="minorHAnsi"/>
          <w:i/>
          <w:iCs/>
        </w:rPr>
        <w:t>Technology Analysis &amp; Strategic Management</w:t>
      </w:r>
      <w:r w:rsidRPr="00AC3D04">
        <w:rPr>
          <w:rFonts w:cstheme="minorHAnsi"/>
        </w:rPr>
        <w:t xml:space="preserve">, </w:t>
      </w:r>
      <w:r w:rsidRPr="00AC3D04">
        <w:rPr>
          <w:rFonts w:cstheme="minorHAnsi"/>
          <w:i/>
          <w:iCs/>
        </w:rPr>
        <w:t>32</w:t>
      </w:r>
      <w:r w:rsidRPr="00AC3D04">
        <w:rPr>
          <w:rFonts w:cstheme="minorHAnsi"/>
        </w:rPr>
        <w:t>(12), 1436-1448.</w:t>
      </w:r>
    </w:p>
    <w:p w14:paraId="42264A9C" w14:textId="77777777" w:rsidR="00494FFD" w:rsidRPr="00AC3D04" w:rsidRDefault="00494FFD" w:rsidP="00494FFD">
      <w:pPr>
        <w:spacing w:after="0"/>
        <w:ind w:left="567" w:hanging="567"/>
        <w:rPr>
          <w:rFonts w:cstheme="minorHAnsi"/>
        </w:rPr>
      </w:pPr>
      <w:r w:rsidRPr="00AC3D04">
        <w:rPr>
          <w:rFonts w:cstheme="minorHAnsi"/>
          <w:color w:val="222222"/>
          <w:shd w:val="clear" w:color="auto" w:fill="FFFFFF"/>
        </w:rPr>
        <w:t>Link, A. N. (2020). </w:t>
      </w:r>
      <w:r w:rsidRPr="00AC3D04">
        <w:rPr>
          <w:rFonts w:cstheme="minorHAnsi"/>
          <w:i/>
          <w:iCs/>
          <w:color w:val="222222"/>
          <w:shd w:val="clear" w:color="auto" w:fill="FFFFFF"/>
        </w:rPr>
        <w:t>Invention, Innovation and US Federal Laboratories</w:t>
      </w:r>
      <w:r w:rsidRPr="00AC3D04">
        <w:rPr>
          <w:rFonts w:cstheme="minorHAnsi"/>
          <w:color w:val="222222"/>
          <w:shd w:val="clear" w:color="auto" w:fill="FFFFFF"/>
        </w:rPr>
        <w:t>. Edward Elgar Publishing.</w:t>
      </w:r>
    </w:p>
    <w:p w14:paraId="08193C2D" w14:textId="52090CB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34B4120F" w14:textId="6F3D828A" w:rsidR="00532E53" w:rsidRPr="00AC3D04" w:rsidRDefault="00532E53" w:rsidP="00532E53">
      <w:pPr>
        <w:pStyle w:val="ListParagraph"/>
        <w:rPr>
          <w:rFonts w:cstheme="minorHAnsi"/>
        </w:rPr>
      </w:pPr>
    </w:p>
    <w:p w14:paraId="7A27708F" w14:textId="666EA63F" w:rsidR="00494FFD" w:rsidRPr="00AC3D04" w:rsidRDefault="00494FFD" w:rsidP="00494FFD">
      <w:pPr>
        <w:spacing w:after="0"/>
        <w:rPr>
          <w:rFonts w:cstheme="minorHAnsi"/>
        </w:rPr>
      </w:pPr>
      <w:r w:rsidRPr="00AC3D04">
        <w:rPr>
          <w:rFonts w:cstheme="minorHAnsi"/>
          <w:b/>
          <w:bCs/>
        </w:rPr>
        <w:t>8.</w:t>
      </w:r>
      <w:r w:rsidRPr="00AC3D04">
        <w:rPr>
          <w:rFonts w:cstheme="minorHAnsi"/>
        </w:rPr>
        <w:t xml:space="preserve"> Technology entails coming up with new ideas that render the current one obsolete. For instance, in the aviation industry, changes get developed to cope with the current times. The changes involve the creation of equipment that moves luggage from one zone to another for checking. The new technologies replace the old ones to enhance more security of luggage (Koch, Wang, &amp; Bäck, 2018). The experiences made by people on the use of current technologies get gathered by the management to perform changes. Also, damages that have occurred on operations of a company get replaced. The replacement makes the introduction of new technologies to get developed. Damages that occur on technologies require replacements to get done effectively (Yatsenko &amp; Hritonenko, 2020). Technologies that have wear and tear needs to get replaced to prevent further damages. </w:t>
      </w:r>
    </w:p>
    <w:p w14:paraId="56161708" w14:textId="77777777" w:rsidR="00494FFD" w:rsidRPr="00AC3D04" w:rsidRDefault="00494FFD" w:rsidP="00494FFD">
      <w:pPr>
        <w:spacing w:after="0"/>
        <w:ind w:firstLine="284"/>
        <w:rPr>
          <w:rFonts w:cstheme="minorHAnsi"/>
        </w:rPr>
      </w:pPr>
      <w:r w:rsidRPr="00AC3D04">
        <w:rPr>
          <w:rFonts w:cstheme="minorHAnsi"/>
        </w:rPr>
        <w:t xml:space="preserve">Initiation of changes in technology gets developed in case of damage or consumer preferences. Damages interfere with technologies that exist in the workplace. The changes would get made to incorporate the preferences of customers (Young &amp; Pagliari, 2017). The delivery of technologies would ensure that operations get performed fast and prevent time delays. Changes would get promoted in the cycles of damages and consumer preference. The replacement of the damaged parts of a machine may ensure that changes get made to increase its maintenance (Ronco, 2017). Consumer preferences over the use of a certain technology encourage making changes to products. Consumers have an impact on what they need to get changed on technologies that would get introduced in the market. </w:t>
      </w:r>
    </w:p>
    <w:p w14:paraId="287E7C21" w14:textId="77777777" w:rsidR="00494FFD" w:rsidRPr="00AC3D04" w:rsidRDefault="00494FFD" w:rsidP="00494FFD">
      <w:pPr>
        <w:spacing w:after="0"/>
        <w:ind w:firstLine="284"/>
        <w:rPr>
          <w:rFonts w:cstheme="minorHAnsi"/>
        </w:rPr>
      </w:pPr>
    </w:p>
    <w:p w14:paraId="176CB8E2" w14:textId="77777777" w:rsidR="00494FFD" w:rsidRPr="00AC3D04" w:rsidRDefault="00494FFD" w:rsidP="00494FFD">
      <w:pPr>
        <w:rPr>
          <w:rFonts w:cstheme="minorHAnsi"/>
        </w:rPr>
      </w:pPr>
    </w:p>
    <w:p w14:paraId="40FD8719" w14:textId="77777777" w:rsidR="00494FFD" w:rsidRPr="00AC3D04" w:rsidRDefault="00494FFD" w:rsidP="00494FFD">
      <w:pPr>
        <w:jc w:val="center"/>
        <w:rPr>
          <w:rFonts w:cstheme="minorHAnsi"/>
        </w:rPr>
      </w:pPr>
      <w:r w:rsidRPr="00AC3D04">
        <w:rPr>
          <w:rFonts w:cstheme="minorHAnsi"/>
        </w:rPr>
        <w:t>References</w:t>
      </w:r>
    </w:p>
    <w:p w14:paraId="5934B17B" w14:textId="77777777" w:rsidR="00494FFD" w:rsidRPr="00AC3D04" w:rsidRDefault="00494FFD" w:rsidP="00494FFD">
      <w:pPr>
        <w:spacing w:after="0"/>
        <w:ind w:left="567" w:hanging="567"/>
        <w:rPr>
          <w:rFonts w:cstheme="minorHAnsi"/>
        </w:rPr>
      </w:pPr>
      <w:r w:rsidRPr="00AC3D04">
        <w:rPr>
          <w:rFonts w:cstheme="minorHAnsi"/>
        </w:rPr>
        <w:lastRenderedPageBreak/>
        <w:t xml:space="preserve">Koch, M., Wang, H., &amp; Bäck, T. (2018, September). Machine learning for predicting the damaged parts of a low speed vehicle crash. In </w:t>
      </w:r>
      <w:r w:rsidRPr="00AC3D04">
        <w:rPr>
          <w:rFonts w:cstheme="minorHAnsi"/>
          <w:i/>
          <w:iCs/>
        </w:rPr>
        <w:t>2018 Thirteenth International Conference on Digital Information Management (ICDIM)</w:t>
      </w:r>
      <w:r w:rsidRPr="00AC3D04">
        <w:rPr>
          <w:rFonts w:cstheme="minorHAnsi"/>
        </w:rPr>
        <w:t xml:space="preserve"> (pp. 179-184). IEEE</w:t>
      </w:r>
    </w:p>
    <w:p w14:paraId="5589AEFF" w14:textId="77777777" w:rsidR="00494FFD" w:rsidRPr="00AC3D04" w:rsidRDefault="00494FFD" w:rsidP="00494FFD">
      <w:pPr>
        <w:spacing w:after="0"/>
        <w:ind w:left="567" w:hanging="567"/>
        <w:rPr>
          <w:rFonts w:cstheme="minorHAnsi"/>
        </w:rPr>
      </w:pPr>
      <w:r w:rsidRPr="00AC3D04">
        <w:rPr>
          <w:rFonts w:cstheme="minorHAnsi"/>
        </w:rPr>
        <w:t xml:space="preserve">Ronco, C. (2017). Evolution of technology for continuous renal replacement therapy: forty years of improvements. </w:t>
      </w:r>
      <w:r w:rsidRPr="00AC3D04">
        <w:rPr>
          <w:rFonts w:cstheme="minorHAnsi"/>
          <w:i/>
          <w:iCs/>
        </w:rPr>
        <w:t>Scientific Aspects of Dialysis Therapy</w:t>
      </w:r>
      <w:r w:rsidRPr="00AC3D04">
        <w:rPr>
          <w:rFonts w:cstheme="minorHAnsi"/>
        </w:rPr>
        <w:t xml:space="preserve">, </w:t>
      </w:r>
      <w:r w:rsidRPr="00AC3D04">
        <w:rPr>
          <w:rFonts w:cstheme="minorHAnsi"/>
          <w:i/>
          <w:iCs/>
        </w:rPr>
        <w:t>189</w:t>
      </w:r>
      <w:r w:rsidRPr="00AC3D04">
        <w:rPr>
          <w:rFonts w:cstheme="minorHAnsi"/>
        </w:rPr>
        <w:t>, 114-123.</w:t>
      </w:r>
    </w:p>
    <w:p w14:paraId="1E0B5B62" w14:textId="77777777" w:rsidR="00494FFD" w:rsidRPr="00AC3D04" w:rsidRDefault="00494FFD" w:rsidP="00494FFD">
      <w:pPr>
        <w:spacing w:after="0"/>
        <w:ind w:left="567" w:hanging="567"/>
        <w:rPr>
          <w:rFonts w:cstheme="minorHAnsi"/>
        </w:rPr>
      </w:pPr>
      <w:r w:rsidRPr="00AC3D04">
        <w:rPr>
          <w:rFonts w:cstheme="minorHAnsi"/>
        </w:rPr>
        <w:t xml:space="preserve">Yatsenko, Y., &amp; Hritonenko, N. (2020). Optimal asset replacement: Profit maximization under varying technology. </w:t>
      </w:r>
      <w:r w:rsidRPr="00AC3D04">
        <w:rPr>
          <w:rFonts w:cstheme="minorHAnsi"/>
          <w:i/>
          <w:iCs/>
        </w:rPr>
        <w:t>International Journal of Production Economics</w:t>
      </w:r>
      <w:r w:rsidRPr="00AC3D04">
        <w:rPr>
          <w:rFonts w:cstheme="minorHAnsi"/>
        </w:rPr>
        <w:t xml:space="preserve">, </w:t>
      </w:r>
      <w:r w:rsidRPr="00AC3D04">
        <w:rPr>
          <w:rFonts w:cstheme="minorHAnsi"/>
          <w:i/>
          <w:iCs/>
        </w:rPr>
        <w:t>228</w:t>
      </w:r>
      <w:r w:rsidRPr="00AC3D04">
        <w:rPr>
          <w:rFonts w:cstheme="minorHAnsi"/>
        </w:rPr>
        <w:t>, 107670.</w:t>
      </w:r>
    </w:p>
    <w:p w14:paraId="34BD83E9" w14:textId="77777777" w:rsidR="00494FFD" w:rsidRPr="00AC3D04" w:rsidRDefault="00494FFD" w:rsidP="00494FFD">
      <w:pPr>
        <w:spacing w:after="0"/>
        <w:ind w:left="567" w:hanging="567"/>
        <w:contextualSpacing/>
        <w:rPr>
          <w:rFonts w:cstheme="minorHAnsi"/>
        </w:rPr>
      </w:pPr>
      <w:r w:rsidRPr="00AC3D04">
        <w:rPr>
          <w:rFonts w:cstheme="minorHAnsi"/>
        </w:rPr>
        <w:t xml:space="preserve">Young, K., &amp; Pagliari, S. (2017). Capital united? Business unity in regulatory politics and the special place of finance. </w:t>
      </w:r>
      <w:r w:rsidRPr="00AC3D04">
        <w:rPr>
          <w:rFonts w:cstheme="minorHAnsi"/>
          <w:i/>
          <w:iCs/>
        </w:rPr>
        <w:t>Regulation &amp; Governance</w:t>
      </w:r>
      <w:r w:rsidRPr="00AC3D04">
        <w:rPr>
          <w:rFonts w:cstheme="minorHAnsi"/>
        </w:rPr>
        <w:t xml:space="preserve">, </w:t>
      </w:r>
      <w:r w:rsidRPr="00AC3D04">
        <w:rPr>
          <w:rFonts w:cstheme="minorHAnsi"/>
          <w:i/>
          <w:iCs/>
        </w:rPr>
        <w:t>11</w:t>
      </w:r>
      <w:r w:rsidRPr="00AC3D04">
        <w:rPr>
          <w:rFonts w:cstheme="minorHAnsi"/>
        </w:rPr>
        <w:t xml:space="preserve">(1), 3-23. </w:t>
      </w:r>
    </w:p>
    <w:p w14:paraId="7300B4FD" w14:textId="77777777" w:rsidR="00494FFD" w:rsidRDefault="00494FFD" w:rsidP="00532E53">
      <w:pPr>
        <w:pStyle w:val="ListParagraph"/>
      </w:pPr>
    </w:p>
    <w:sectPr w:rsidR="004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58F3"/>
    <w:multiLevelType w:val="hybridMultilevel"/>
    <w:tmpl w:val="C2EA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3"/>
    <w:rsid w:val="001E798C"/>
    <w:rsid w:val="00494FFD"/>
    <w:rsid w:val="00532E53"/>
    <w:rsid w:val="00570521"/>
    <w:rsid w:val="00AC3D04"/>
    <w:rsid w:val="00CF4FAA"/>
    <w:rsid w:val="00E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D3A1"/>
  <w15:chartTrackingRefBased/>
  <w15:docId w15:val="{47E57ECA-F271-4CAC-A2AC-CB1866CD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53"/>
    <w:pPr>
      <w:ind w:left="720"/>
      <w:contextualSpacing/>
    </w:pPr>
  </w:style>
  <w:style w:type="paragraph" w:styleId="NormalWeb">
    <w:name w:val="Normal (Web)"/>
    <w:basedOn w:val="Normal"/>
    <w:uiPriority w:val="99"/>
    <w:unhideWhenUsed/>
    <w:rsid w:val="00532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0218">
      <w:bodyDiv w:val="1"/>
      <w:marLeft w:val="0"/>
      <w:marRight w:val="0"/>
      <w:marTop w:val="0"/>
      <w:marBottom w:val="0"/>
      <w:divBdr>
        <w:top w:val="none" w:sz="0" w:space="0" w:color="auto"/>
        <w:left w:val="none" w:sz="0" w:space="0" w:color="auto"/>
        <w:bottom w:val="none" w:sz="0" w:space="0" w:color="auto"/>
        <w:right w:val="none" w:sz="0" w:space="0" w:color="auto"/>
      </w:divBdr>
    </w:div>
    <w:div w:id="572936226">
      <w:bodyDiv w:val="1"/>
      <w:marLeft w:val="0"/>
      <w:marRight w:val="0"/>
      <w:marTop w:val="0"/>
      <w:marBottom w:val="0"/>
      <w:divBdr>
        <w:top w:val="none" w:sz="0" w:space="0" w:color="auto"/>
        <w:left w:val="none" w:sz="0" w:space="0" w:color="auto"/>
        <w:bottom w:val="none" w:sz="0" w:space="0" w:color="auto"/>
        <w:right w:val="none" w:sz="0" w:space="0" w:color="auto"/>
      </w:divBdr>
    </w:div>
    <w:div w:id="636616883">
      <w:bodyDiv w:val="1"/>
      <w:marLeft w:val="0"/>
      <w:marRight w:val="0"/>
      <w:marTop w:val="0"/>
      <w:marBottom w:val="0"/>
      <w:divBdr>
        <w:top w:val="none" w:sz="0" w:space="0" w:color="auto"/>
        <w:left w:val="none" w:sz="0" w:space="0" w:color="auto"/>
        <w:bottom w:val="none" w:sz="0" w:space="0" w:color="auto"/>
        <w:right w:val="none" w:sz="0" w:space="0" w:color="auto"/>
      </w:divBdr>
    </w:div>
    <w:div w:id="823349647">
      <w:bodyDiv w:val="1"/>
      <w:marLeft w:val="0"/>
      <w:marRight w:val="0"/>
      <w:marTop w:val="0"/>
      <w:marBottom w:val="0"/>
      <w:divBdr>
        <w:top w:val="none" w:sz="0" w:space="0" w:color="auto"/>
        <w:left w:val="none" w:sz="0" w:space="0" w:color="auto"/>
        <w:bottom w:val="none" w:sz="0" w:space="0" w:color="auto"/>
        <w:right w:val="none" w:sz="0" w:space="0" w:color="auto"/>
      </w:divBdr>
    </w:div>
    <w:div w:id="1207184910">
      <w:bodyDiv w:val="1"/>
      <w:marLeft w:val="0"/>
      <w:marRight w:val="0"/>
      <w:marTop w:val="0"/>
      <w:marBottom w:val="0"/>
      <w:divBdr>
        <w:top w:val="none" w:sz="0" w:space="0" w:color="auto"/>
        <w:left w:val="none" w:sz="0" w:space="0" w:color="auto"/>
        <w:bottom w:val="none" w:sz="0" w:space="0" w:color="auto"/>
        <w:right w:val="none" w:sz="0" w:space="0" w:color="auto"/>
      </w:divBdr>
    </w:div>
    <w:div w:id="1617785896">
      <w:bodyDiv w:val="1"/>
      <w:marLeft w:val="0"/>
      <w:marRight w:val="0"/>
      <w:marTop w:val="0"/>
      <w:marBottom w:val="0"/>
      <w:divBdr>
        <w:top w:val="none" w:sz="0" w:space="0" w:color="auto"/>
        <w:left w:val="none" w:sz="0" w:space="0" w:color="auto"/>
        <w:bottom w:val="none" w:sz="0" w:space="0" w:color="auto"/>
        <w:right w:val="none" w:sz="0" w:space="0" w:color="auto"/>
      </w:divBdr>
    </w:div>
    <w:div w:id="1694384041">
      <w:bodyDiv w:val="1"/>
      <w:marLeft w:val="0"/>
      <w:marRight w:val="0"/>
      <w:marTop w:val="0"/>
      <w:marBottom w:val="0"/>
      <w:divBdr>
        <w:top w:val="none" w:sz="0" w:space="0" w:color="auto"/>
        <w:left w:val="none" w:sz="0" w:space="0" w:color="auto"/>
        <w:bottom w:val="none" w:sz="0" w:space="0" w:color="auto"/>
        <w:right w:val="none" w:sz="0" w:space="0" w:color="auto"/>
      </w:divBdr>
    </w:div>
    <w:div w:id="1735545327">
      <w:bodyDiv w:val="1"/>
      <w:marLeft w:val="0"/>
      <w:marRight w:val="0"/>
      <w:marTop w:val="0"/>
      <w:marBottom w:val="0"/>
      <w:divBdr>
        <w:top w:val="none" w:sz="0" w:space="0" w:color="auto"/>
        <w:left w:val="none" w:sz="0" w:space="0" w:color="auto"/>
        <w:bottom w:val="none" w:sz="0" w:space="0" w:color="auto"/>
        <w:right w:val="none" w:sz="0" w:space="0" w:color="auto"/>
      </w:divBdr>
    </w:div>
    <w:div w:id="19653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3</cp:revision>
  <dcterms:created xsi:type="dcterms:W3CDTF">2021-07-19T03:42:00Z</dcterms:created>
  <dcterms:modified xsi:type="dcterms:W3CDTF">2021-07-19T04:10:00Z</dcterms:modified>
</cp:coreProperties>
</file>